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601-02/26-01/____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49. Zakona o predškolskom odgoju i obrazovanju („Narodne novine" broj 10/97, 107/07, 94/13, 98/19, 57/22 i 101/23), članka 88. Zakona o proračunu („Narodne novine" broj 144/21), a u svezi s Programom javnih potreba u djelatnosti predškolskog odgoja za 2025. godinu i njegovim 1., 2. i 3. izmjenama i dopunama te 3. izmjenama i dopunama Proračuna Općine Sveti Filip i Jakov za 2025. godinu (3. rebalans),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IZVJEŠĆE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IZVRŠENJU PROGRAMA JAVNIH POTREBA U DJELATNOSTI PREDŠKOLSKOG ODGOJA OPĆINE SVETI FILIP I JAKOV ZA 2025. GODINU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I. UVODNA NAPOMENA</w:t>
      </w:r>
    </w:p>
    <w:p>
      <w:pPr>
        <w:spacing w:after="120"/>
      </w:pPr>
      <w:r>
        <w:rPr>
          <w:rFonts w:ascii="Arial" w:cs="Arial" w:eastAsia="Arial" w:hAnsi="Arial"/>
        </w:rPr>
        <w:t>Općinsko vijeće Općine Sveti Filip i Jakov, na temelju članka 49. Zakona o predškolskom odgoju i obrazovanju, donijelo je Program javnih potreba u djelatnosti predškolskog odgoja za 2025. godinu istodobno s Proračunom Općine za 2025. godinu. Program je tijekom godine mijenjan i dopunjavan sukladno proračunskim rebalansima, a posljednje (3.) izmjene i dopune donesene su uz 3. rebalans („Službeni glasnik Općine Sveti Filip i Jakov" broj 16/25), na 5. sjednici Općinskog vijeća održanoj 22. prosinca 2025. godine.</w:t>
      </w:r>
    </w:p>
    <w:p>
      <w:pPr>
        <w:spacing w:after="120"/>
      </w:pPr>
      <w:r>
        <w:rPr>
          <w:rFonts w:ascii="Arial" w:cs="Arial" w:eastAsia="Arial" w:hAnsi="Arial"/>
        </w:rPr>
        <w:t xml:space="preserve">Programom se, radi osiguranja materijalnih uvjeta za zadovoljavanje javnih potreba u djelatnosti predškolskog odgoja na području Općine, osiguravaju sredstva za rad jedinog proračunskog korisnika u toj djelatnosti — Dječjeg vrtića „Cvit" Sveti Filip i Jakov (čija je Općina osnivač) — u ukupnom planiranom iznosu od 1.759.886,00 eura, raspoređenom po izvorima financiranja. Sredstva se doznačuju vrtiću sukladno dinamici ostvarivanja prihoda i dospijeću rashoda. Ovo se Izvješće podnosi Općinskom vijeću istodobno s izvješćem o izvršenju Proračuna Općine Sveti Filip i Jakov za 2025. godinu.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II. IZVRŠENJE PROGRAMA PO IZVORIMA FINANCIRANJA</w:t>
      </w:r>
    </w:p>
    <w:p>
      <w:pPr>
        <w:spacing w:after="120"/>
      </w:pPr>
      <w:r>
        <w:rPr>
          <w:rFonts w:ascii="Arial" w:cs="Arial" w:eastAsia="Arial" w:hAnsi="Arial"/>
        </w:rPr>
        <w:t xml:space="preserve">Za izvršenje Programa u 2025. godini utrošena su sredstva u iznosu od </w:t>
      </w:r>
      <w:r>
        <w:rPr>
          <w:rFonts w:ascii="Arial" w:cs="Arial" w:eastAsia="Arial" w:hAnsi="Arial"/>
          <w:b/>
          <w:bCs/>
        </w:rPr>
        <w:t xml:space="preserve">1.666.061,60 eura</w:t>
      </w:r>
      <w:r>
        <w:rPr>
          <w:rFonts w:ascii="Arial" w:cs="Arial" w:eastAsia="Arial" w:hAnsi="Arial"/>
        </w:rPr>
        <w:t xml:space="preserve">, što u odnosu na planiranih </w:t>
      </w:r>
      <w:r>
        <w:rPr>
          <w:rFonts w:ascii="Arial" w:cs="Arial" w:eastAsia="Arial" w:hAnsi="Arial"/>
          <w:b/>
          <w:bCs/>
        </w:rPr>
        <w:t xml:space="preserve">1.759.886,00 eura</w:t>
      </w:r>
      <w:r>
        <w:rPr>
          <w:rFonts w:ascii="Arial" w:cs="Arial" w:eastAsia="Arial" w:hAnsi="Arial"/>
        </w:rPr>
        <w:t xml:space="preserve"> predstavlja izvršenje od </w:t>
      </w:r>
      <w:r>
        <w:rPr>
          <w:rFonts w:ascii="Arial" w:cs="Arial" w:eastAsia="Arial" w:hAnsi="Arial"/>
          <w:b/>
          <w:bCs/>
        </w:rPr>
        <w:t xml:space="preserve">94,67 %.</w:t>
      </w:r>
    </w:p>
    <w:p>
      <w:pPr>
        <w:pStyle w:val="Heading2"/>
        <w:spacing w:after="70" w:before="150"/>
      </w:pPr>
      <w:r>
        <w:rPr>
          <w:rFonts w:ascii="Arial" w:cs="Arial" w:eastAsia="Arial" w:hAnsi="Arial"/>
        </w:rPr>
        <w:t xml:space="preserve">Tablica 1. Izvršenje po izvorima financiranja: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6"/>
        <w:gridCol w:w="1600"/>
        <w:gridCol w:w="1600"/>
        <w:gridCol w:w="1500"/>
      </w:tblGrid>
      <w:tr>
        <w:trPr>
          <w:tblHeader/>
        </w:trP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Izvor financiranja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Plan 2025. (€)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Izvršenje 2025. (€)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Index (%)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1.1. Opći prihodi i primici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1.315.000,00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1.256.101,34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95,52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3.7. Sufinanciranje cijene usluge (roditelji)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286.000,00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269.991,53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94,40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4.1. Pomoći od državnog proračuna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130.000,00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121.942,73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93,80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4.4. Pomoći državni proračun – proračunski korisnik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13.000,00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3.760,00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28,92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4.5. Pomoći županijski proračun – proračunski korisnik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0,00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0,00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5.4. Donacije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3.000,00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2.380,00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79,33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9.6. Pomoći državnog proračuna – višak za vrtić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11.886,00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11.886,00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100,00</w:t>
            </w:r>
          </w:p>
        </w:tc>
      </w:tr>
      <w:tr>
        <w:tc>
          <w:tcPr>
            <w:tcW w:type="dxa" w:w="43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</w:rPr>
              <w:t xml:space="preserve">UKUPNO: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</w:rPr>
              <w:t xml:space="preserve">1.759.886,00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</w:rPr>
              <w:t xml:space="preserve">1.666.061,60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</w:rPr>
              <w:t xml:space="preserve">94,67</w:t>
            </w:r>
          </w:p>
        </w:tc>
      </w:tr>
    </w:tbl>
    <w:p>
      <w:pPr>
        <w:pStyle w:val="Heading2"/>
        <w:spacing w:after="70" w:before="150"/>
      </w:pPr>
      <w:r>
        <w:rPr>
          <w:rFonts w:ascii="Arial" w:cs="Arial" w:eastAsia="Arial" w:hAnsi="Arial"/>
        </w:rPr>
        <w:t xml:space="preserve">Tablica 2. Struktura izvršenih rashoda po ekonomskoj klasifikaciji: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26"/>
        <w:gridCol w:w="1950"/>
        <w:gridCol w:w="1950"/>
      </w:tblGrid>
      <w:tr>
        <w:trPr>
          <w:tblHeader/>
        </w:trP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Vrsta rashoda (razred Računskog plana)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Izvršenje 2025. (€)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Udio</w:t>
            </w:r>
          </w:p>
        </w:tc>
      </w:tr>
      <w:t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31 – Rashodi za zaposlene (plaće, ostali rashodi, doprinosi)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1.341.920,09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80,5 %</w:t>
            </w:r>
          </w:p>
        </w:tc>
      </w:tr>
      <w:t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32 – Materijalni rashodi (prehrana, energija, materijal, usluge)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310.346,55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18,6 %</w:t>
            </w:r>
          </w:p>
        </w:tc>
      </w:tr>
      <w:t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34 – Financijski rashodi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1.934,90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0,1 %</w:t>
            </w:r>
          </w:p>
        </w:tc>
      </w:tr>
      <w:t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</w:rPr>
              <w:t xml:space="preserve">42 – Rashodi za nabavu opreme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11.860,06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</w:rPr>
              <w:t xml:space="preserve">0,7 %</w:t>
            </w:r>
          </w:p>
        </w:tc>
      </w:tr>
      <w:tr>
        <w:tc>
          <w:tcPr>
            <w:tcW w:type="dxa" w:w="51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</w:rPr>
              <w:t xml:space="preserve">UKUPNO: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</w:rPr>
              <w:t xml:space="preserve">1.666.061,60</w:t>
            </w:r>
          </w:p>
        </w:tc>
        <w:tc>
          <w:tcPr>
            <w:tcW w:type="dxa" w:w="19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</w:rPr>
              <w:t xml:space="preserve">100,0 %</w:t>
            </w:r>
          </w:p>
        </w:tc>
      </w:tr>
    </w:tbl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III. OBRAZLOŽENJE IZVRŠENJA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Namjena Programa. </w:t>
      </w:r>
      <w:r>
        <w:rPr>
          <w:rFonts w:ascii="Arial" w:cs="Arial" w:eastAsia="Arial" w:hAnsi="Arial"/>
        </w:rPr>
        <w:t xml:space="preserve">Sredstvima Programa financira se redovita djelatnost Dječjeg vrtića „Cvit" — rashodi za zaposlene (plaće, doprinosi i ostali rashodi za zaposlene odgojno-obrazovnih i ostalih radnika), materijalni rashodi (prehrana djece, energija, materijal i usluge) te nabava opreme za potrebe vrtića. Najveći dio sredstava (80,5 % izvršenja, 1.341.920,09 €) odnosi se na rashode za zaposlene, što odgovara naravi djelatnosti predškolskog odgoja.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Opći prihodi i primici (izvor 1.1) – 1.256.101,34 € (95,52 %). </w:t>
      </w:r>
      <w:r>
        <w:rPr>
          <w:rFonts w:ascii="Arial" w:cs="Arial" w:eastAsia="Arial" w:hAnsi="Arial"/>
        </w:rPr>
        <w:t xml:space="preserve">Iz proračunskih sredstava Općine financirane su pretežno plaće za redovan rad (1.052.013,42 €, konto 3111), doprinosi (160.671,81 €, konto 3132), naknade za prijevoz zaposlenika (konto 3212) i energija (konto 3223), te dio opreme (konto 4227). Visoko izvršenje (95,52 %) — redovno financiranje plaća i materijalnih troškova.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Sufinanciranje cijene usluge – roditelji (izvor 3.7) – 269.991,53 € (94,40 %). </w:t>
      </w:r>
      <w:r>
        <w:rPr>
          <w:rFonts w:ascii="Arial" w:cs="Arial" w:eastAsia="Arial" w:hAnsi="Arial"/>
        </w:rPr>
        <w:t xml:space="preserve">Iz uplata roditelja (sudjelovanje u cijeni usluge) financirani su prehrana djece (konto 3222), ostali materijal i usluge (skupine 32) te dio ostalih rashoda za zaposlene. Izvršenje u skladu s ostvarenim uplatama roditelja.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Pomoći od državnog proračuna (izvor 4.1) – 121.942,73 € (93,80 %). </w:t>
      </w:r>
      <w:r>
        <w:rPr>
          <w:rFonts w:ascii="Arial" w:cs="Arial" w:eastAsia="Arial" w:hAnsi="Arial"/>
        </w:rPr>
        <w:t xml:space="preserve">Namjenske pomoći iz državnog proračuna (među ostalim za plaće sukladno mjerama te za nabavu opreme — konto 4227). Visoko izvršenje (93,80 %).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Pomoći državni i županijski proračun – PK (izvori 4.4 i 4.5) – 3.760,00 € (28,92 %), odnosno 0,00 € (0,00 %). </w:t>
      </w:r>
      <w:r>
        <w:rPr>
          <w:rFonts w:ascii="Arial" w:cs="Arial" w:eastAsia="Arial" w:hAnsi="Arial"/>
        </w:rPr>
        <w:t xml:space="preserve">Riječ je o namjenskim pomoćima čije korištenje u cijelosti ovisi o doznakama nadležnih tijela (državnog, odnosno županijskog proračuna) prema odobrenim programima i projektima. Budući da su u 2025. godini te pomoći doznačene u manjem iznosu, odnosno nisu doznačene, nije bilo moguće ni izvršiti pripadajuće rashode; neutrošena planirana sredstva nisu opteretila proračun niti su utjecala na redovito poslovanje vrtića, koje je u cijelosti financirano iz općih prihoda (izvor 1.1) i sufinanciranja roditelja (izvor 3.7).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Donacije (izvor 5.4) – 2.380,00 € (79,33 %) </w:t>
      </w:r>
      <w:r>
        <w:rPr>
          <w:rFonts w:ascii="Arial" w:cs="Arial" w:eastAsia="Arial" w:hAnsi="Arial"/>
        </w:rPr>
        <w:t xml:space="preserve">— utrošene za materijalne rashode vrtića sukladno namjeni donacija.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Pomoći državnog proračuna – višak za vrtić (izvor 9.6) – 11.886,00 € (100,00 %). </w:t>
      </w:r>
      <w:r>
        <w:rPr>
          <w:rFonts w:ascii="Arial" w:cs="Arial" w:eastAsia="Arial" w:hAnsi="Arial"/>
        </w:rPr>
        <w:t xml:space="preserve">Preneseni namjenski višak pomoći u cijelosti je utrošen za rashode za zaposlene (konto 3111).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Obrazloženje ukupnog odstupanja. </w:t>
      </w:r>
      <w:r>
        <w:rPr>
          <w:rFonts w:ascii="Arial" w:cs="Arial" w:eastAsia="Arial" w:hAnsi="Arial"/>
        </w:rPr>
        <w:t xml:space="preserve">Ukupno izvršenje (1.666.061,60 €) iznosi 94,67 % plana (1.759.886,00 €), odnosno 93.824,40 € manje od plana. Manje izvršenje proizlazi pretežno iz nižeg ostvarenja namjenskih pomoći proračunskom korisniku (izvori 4.4 i 4.5) te iz dinamike rashoda; redovita djelatnost vrtića (plaće, prehrana, materijalni troškovi) financirana je u cijelosti i nesmetano. Sva su sredstva utrošena namjenski, sukladno članku 48. Zakona o predškolskom odgoju i obrazovanju.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IV. ZAKLJUČNE ODREDBE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 izvršenju Programa javnih potreba u djelatnosti predškolskog odgoja Općine Sveti Filip i Jakov za 2025. godinu sastavni je dio Izvješća o izvršenju Proračuna Općine Sveti Filip i Jakov za 2025. godinu te se podnosi Općinskom vijeću istodobno s izvješćem o izvršenju proračuna.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objavit će se u „Službenom glasniku Općine Sveti Filip i Jakov".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p>
      <w:pPr>
        <w:pageBreakBefore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PRIJEDLOG</w:t>
      </w:r>
    </w:p>
    <w:p>
      <w:pPr>
        <w:spacing w:after="0"/>
      </w:pPr>
      <w:r>
        <w:rPr>
          <w:rFonts w:ascii="Arial" w:cs="Arial" w:eastAsia="Arial" w:hAnsi="Arial"/>
        </w:rPr>
        <w:t xml:space="preserve">KLASA: 601-02/26-01/____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49. Zakona o predškolskom odgoju i obrazovanju („Narodne novine" broj 10/97, 107/07, 94/13, 98/19, 57/22 i 101/23) i članka 32. Statuta Općine Sveti Filip i Jakov, Općinsko vijeće Općine Sveti Filip i Jakov na svojoj ____. sjednici održanoj ____________ 2026. donosi: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ZAKLJUČAK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usvajanju Izvješća o izvršenju Programa javnih potreba u djelatnosti predškolskog odgoja Općine Sveti Filip i Jakov za 2025. godinu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I.</w:t>
      </w:r>
    </w:p>
    <w:p>
      <w:pPr>
        <w:spacing w:after="120"/>
      </w:pPr>
      <w:r>
        <w:rPr>
          <w:rFonts w:ascii="Arial" w:cs="Arial" w:eastAsia="Arial" w:hAnsi="Arial"/>
        </w:rPr>
        <w:t xml:space="preserve">Usvaja se Izvješće o izvršenju Programa javnih potreba u djelatnosti predškolskog odgoja Općine Sveti Filip i Jakov za 2025. godinu, s iskazanim izvršenjem u iznosu od 1.666.061,60 eura u odnosu na planiranih 1.759.886,00 eura (94,67 %).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II.</w:t>
      </w:r>
    </w:p>
    <w:p>
      <w:pPr>
        <w:spacing w:after="120"/>
      </w:pPr>
      <w:r>
        <w:rPr>
          <w:rFonts w:ascii="Arial" w:cs="Arial" w:eastAsia="Arial" w:hAnsi="Arial"/>
        </w:rPr>
        <w:t xml:space="preserve">Ovaj Zaključak i Izvješće objavit će se u „Službenom glasniku Općine Sveti Filip i Jakov".</w:t>
      </w:r>
    </w:p>
    <w:p>
      <w:pPr>
        <w:spacing w:after="120"/>
        <w:jc w:val="center"/>
      </w:pPr>
      <w:r>
        <w:rPr>
          <w:rFonts w:ascii="Arial" w:cs="Arial" w:eastAsia="Arial" w:hAnsi="Arial"/>
        </w:rPr>
        <w:t xml:space="preserve">Predsjednik Općinskog vijeća: 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1F4E79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70" w:before="150"/>
      <w:outlineLvl w:val="1"/>
    </w:pPr>
    <w:rPr>
      <w:rFonts w:ascii="Arial" w:cs="Arial" w:eastAsia="Arial" w:hAnsi="Arial"/>
      <w:b/>
      <w:bCs/>
      <w:color w:val="2E5496"/>
      <w:sz w:val="21"/>
      <w:szCs w:val="21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2026-06-18T07:50:42.835Z</dcterms:created>
  <dcterms:modified xsi:type="dcterms:W3CDTF">2026-06-18T07:50:42.836Z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