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</w:rPr>
        <w:t xml:space="preserve">REPUBLIKA HRVATSKA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ZADARSKA ŽUPANIJA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OPĆINA SVETI FILIP I JAKOV</w:t>
      </w:r>
    </w:p>
    <w:p>
      <w:pPr>
        <w:spacing w:after="0"/>
      </w:pPr>
      <w:r>
        <w:rPr>
          <w:rFonts w:ascii="Arial" w:cs="Arial" w:eastAsia="Arial" w:hAnsi="Arial"/>
        </w:rPr>
        <w:t xml:space="preserve">Općinsko vijeće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Put Primorja 1, 23207 Sveti Filip i Jakov • OIB: 57113796391</w:t>
      </w:r>
    </w:p>
    <w:p>
      <w:pPr>
        <w:spacing w:after="0"/>
      </w:pPr>
      <w:r>
        <w:rPr>
          <w:rFonts w:ascii="Arial" w:cs="Arial" w:eastAsia="Arial" w:hAnsi="Arial"/>
        </w:rPr>
        <w:t xml:space="preserve">KLASA: 550-01/26-01/____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>Na temelju članka 289. Zakona o socijalnoj skrbi („Narodne novine" broj 18/22, 46/22, 119/22, 71/23 i 156/23), članka 88. Zakona o proračunu („Narodne novine" broj 144/21), a u svezi s Programom javnih potreba u socijalnoj skrbi za 2025. godinu i njegovim 1. i 2. izmjenama i dopunama te 3. izmjenama i dopunama Proračuna Općine Sveti Filip i Jakov za 2025. godinu (3. rebalans), te članka 32. Statuta Općine Sveti Filip i Jakov („Službeni glasnik Općine Sveti Filip i Jakov" broj 02/14 – pročišćeni tekst, 06/14, 1/18, 1/20, 2/21, 16/24 i 14/25), Općinsko vijeće Općine Sveti Filip i Jakov na svojoj ____. sjednici održanoj dana ____________ 2026. godine donosi:</w:t>
      </w:r>
      <w:r>
        <w:rPr>
          <w:rFonts w:ascii="Arial" w:cs="Arial" w:eastAsia="Arial" w:hAnsi="Arial"/>
          <w:b/>
          <w:bCs/>
        </w:rPr>
      </w:r>
      <w:r>
        <w:rPr>
          <w:rFonts w:ascii="Arial" w:cs="Arial" w:eastAsia="Arial" w:hAnsi="Arial"/>
        </w:rPr>
      </w:r>
      <w:r>
        <w:rPr>
          <w:rFonts w:ascii="Arial" w:cs="Arial" w:eastAsia="Arial" w:hAnsi="Arial"/>
          <w:b/>
          <w:bCs/>
        </w:rPr>
      </w:r>
      <w:r>
        <w:rPr>
          <w:rFonts w:ascii="Arial" w:cs="Arial" w:eastAsia="Arial" w:hAnsi="Arial"/>
        </w:rPr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IZVJEŠĆE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IZVRŠENJU PROGRAMA JAVNIH POTREBA U SOCIJALNOJ SKRBI OPĆINE SVETI FILIP I JAKOV ZA 2025. GODINU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I. UVODNA NAPOMENA</w:t>
      </w:r>
    </w:p>
    <w:p>
      <w:pPr>
        <w:spacing w:after="120"/>
      </w:pPr>
      <w:r>
        <w:rPr>
          <w:rFonts w:ascii="Arial" w:cs="Arial" w:eastAsia="Arial" w:hAnsi="Arial"/>
        </w:rPr>
        <w:t>Općinsko vijeće Općine Sveti Filip i Jakov, na temelju članka 289. Zakona o socijalnoj skrbi, donijelo je Program javnih potreba u socijalnoj skrbi za 2025. godinu istodobno s Proračunom Općine za 2025. godinu. Program je tijekom godine mijenjan i dopunjavan sukladno proračunskim rebalansima, a posljednje (2.) izmjene i dopune donesene su uz 3. rebalans („Službeni glasnik Općine Sveti Filip i Jakov" broj 16/25), na 5. sjednici Općinskog vijeća održanoj 22. prosinca 2025. godine.</w:t>
      </w:r>
    </w:p>
    <w:p>
      <w:pPr>
        <w:spacing w:after="120"/>
      </w:pPr>
      <w:r>
        <w:rPr>
          <w:rFonts w:ascii="Arial" w:cs="Arial" w:eastAsia="Arial" w:hAnsi="Arial"/>
        </w:rPr>
        <w:t xml:space="preserve">Programom se utvrđuju javne potrebe u socijalnoj skrbi na području Općine i sredstva za njihovo financiranje, u ukupnom planiranom iznosu od 12.415.335,78 eura. Program obuhvaća dvije skupine mjera: (a) socijalne naknade, pomoći i programe za građane (sufinanciranje socijalne skrbi, pomoć u kući starijima, naknade za novorođenu djecu, prigodne naknade umirovljenicima, financijske pomoći učenicima i dr.), te (b) kapitalna ulaganja i projekte u socijalnoj infrastrukturi — izgradnju i opremanje Centra za starije osobe (projekt iz Nacionalnog plana oporavka i otpornosti), nabavu lifta za osobe s invaliditetom te program „Zaželi" (Europski socijalni fond). Ovo se Izvješće podnosi Općinskom vijeću istodobno s izvješćem o izvršenju Proračuna Općine Sveti Filip i Jakov za 2025. godinu.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II. IZVRŠENJE PROGRAMA PO AKTIVNOSTIMA I PROJEKTIMA</w:t>
      </w:r>
    </w:p>
    <w:p>
      <w:pPr>
        <w:spacing w:after="120"/>
      </w:pPr>
      <w:r>
        <w:rPr>
          <w:rFonts w:ascii="Arial" w:cs="Arial" w:eastAsia="Arial" w:hAnsi="Arial"/>
        </w:rPr>
        <w:t xml:space="preserve">Za izvršenje Programa u 2025. godini utrošena su sredstva u iznosu od </w:t>
      </w:r>
      <w:r>
        <w:rPr>
          <w:rFonts w:ascii="Arial" w:cs="Arial" w:eastAsia="Arial" w:hAnsi="Arial"/>
          <w:b/>
          <w:bCs/>
        </w:rPr>
        <w:t xml:space="preserve">5.842.291,07 eura</w:t>
      </w:r>
      <w:r>
        <w:rPr>
          <w:rFonts w:ascii="Arial" w:cs="Arial" w:eastAsia="Arial" w:hAnsi="Arial"/>
        </w:rPr>
        <w:t xml:space="preserve">, što u odnosu na planiranih </w:t>
      </w:r>
      <w:r>
        <w:rPr>
          <w:rFonts w:ascii="Arial" w:cs="Arial" w:eastAsia="Arial" w:hAnsi="Arial"/>
          <w:b/>
          <w:bCs/>
        </w:rPr>
        <w:t xml:space="preserve">12.415.335,78 eura</w:t>
      </w:r>
      <w:r>
        <w:rPr>
          <w:rFonts w:ascii="Arial" w:cs="Arial" w:eastAsia="Arial" w:hAnsi="Arial"/>
        </w:rPr>
        <w:t xml:space="preserve"> predstavlja izvršenje od </w:t>
      </w:r>
      <w:r>
        <w:rPr>
          <w:rFonts w:ascii="Arial" w:cs="Arial" w:eastAsia="Arial" w:hAnsi="Arial"/>
          <w:b/>
          <w:bCs/>
        </w:rPr>
        <w:t xml:space="preserve">47,06 %</w:t>
      </w:r>
      <w:r>
        <w:rPr>
          <w:rFonts w:ascii="Arial" w:cs="Arial" w:eastAsia="Arial" w:hAnsi="Arial"/>
        </w:rPr>
        <w:t xml:space="preserve">. Niska ukupna stopa posljedica je dinamike višegodišnjeg kapitalnog projekta izgradnje Centra za starije osobe (vidi obrazloženje).</w:t>
      </w:r>
    </w:p>
    <w:p>
      <w:pPr>
        <w:pStyle w:val="Heading2"/>
        <w:spacing w:after="70" w:before="150"/>
      </w:pPr>
      <w:r>
        <w:rPr>
          <w:rFonts w:ascii="Arial" w:cs="Arial" w:eastAsia="Arial" w:hAnsi="Arial"/>
        </w:rPr>
        <w:t xml:space="preserve">Tablica 1. Izvršenje po aktivnostima/projektima: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0"/>
        <w:gridCol w:w="3450"/>
        <w:gridCol w:w="1700"/>
        <w:gridCol w:w="1700"/>
        <w:gridCol w:w="746"/>
      </w:tblGrid>
      <w:tr>
        <w:trPr>
          <w:tblHeader/>
        </w:trP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R.br.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Aktivnost / projekt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Plan 2025. (€)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Izvršenje (€)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Index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Sufinanciranje socijalne skrbi (naknade građanima, Crveni križ, Centar za rehabilitaciju)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48.900,00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17.708,27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36,21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Pomoć u kući (pomoć starijima)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72.000,00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52.685,20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73,17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Naknada za novorođenu djecu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40.000,00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32.215,91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80,54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Božićnice – umirovljenici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60.000,00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44.660,00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74,43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Prigodni dar za Uskrs – umirovljenici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40.000,00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39.400,00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98,50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Edukacije deficitarnog kadra za Centar za starije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5.000,00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0,00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0,00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Financijska pomoć za školsku opremu (učenici)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4.000,00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3.860,26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96,51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Izgradnja i opremanje Centra za starije osobe (NPOO)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11.614.819,21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5.251.780,18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45,22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Lift za osobe s invaliditetom na plaži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35.000,00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38.874,88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111,07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</w:t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Projekt „Zaželi – Sv. Filip i Jakov" (ESF, Faza IV)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495.616,57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361.106,37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72,86</w:t>
            </w:r>
          </w:p>
        </w:tc>
      </w:tr>
      <w:tr>
        <w:tc>
          <w:tcPr>
            <w:tcW w:type="dxa" w:w="43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34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UKUPNO: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12.415.335,78</w:t>
            </w:r>
          </w:p>
        </w:tc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5.842.291,07</w:t>
            </w:r>
          </w:p>
        </w:tc>
        <w:tc>
          <w:tcPr>
            <w:tcW w:type="dxa" w:w="74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47,06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i/>
          <w:iCs/>
        </w:rPr>
        <w:t xml:space="preserve">Za usporedbu, </w:t>
      </w:r>
      <w:r>
        <w:rPr>
          <w:rFonts w:ascii="Arial" w:cs="Arial" w:eastAsia="Arial" w:hAnsi="Arial"/>
          <w:i/>
          <w:iCs/>
        </w:rPr>
        <w:t xml:space="preserve">izuzme li se kapitalni projekt Centra za starije osobe, ostatak Programa (socijalne naknade i pomoći, lift, Zaželi) izvršen je u iznosu 590.510,89 € od planiranih 800.516,57 € (73,8 %).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III. OBRAZLOŽENJE IZVRŠENJA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A) Socijalne naknade i pomoći građanima (aktivnosti 1.–7.). </w:t>
      </w:r>
      <w:r>
        <w:rPr>
          <w:rFonts w:ascii="Arial" w:cs="Arial" w:eastAsia="Arial" w:hAnsi="Arial"/>
        </w:rPr>
        <w:t xml:space="preserve">Financirane su iz općih prihoda Općine i namijenjene su izravnoj pomoći građanima i kućanstvima slabijeg imovnog stanja te ranjivim skupinama: </w:t>
      </w:r>
      <w:r>
        <w:rPr>
          <w:rFonts w:ascii="Arial" w:cs="Arial" w:eastAsia="Arial" w:hAnsi="Arial"/>
          <w:b/>
          <w:bCs/>
        </w:rPr>
        <w:t xml:space="preserve">sufinanciranje socijalne skrbi</w:t>
      </w:r>
      <w:r>
        <w:rPr>
          <w:rFonts w:ascii="Arial" w:cs="Arial" w:eastAsia="Arial" w:hAnsi="Arial"/>
        </w:rPr>
        <w:t xml:space="preserve"> (jednokratne naknade, Hrvatski crveni križ, Centar za rehabilitaciju i dr.) — 17.708,27 € (36,21 %); </w:t>
      </w:r>
      <w:r>
        <w:rPr>
          <w:rFonts w:ascii="Arial" w:cs="Arial" w:eastAsia="Arial" w:hAnsi="Arial"/>
          <w:b/>
          <w:bCs/>
        </w:rPr>
        <w:t xml:space="preserve">pomoć u kući</w:t>
      </w:r>
      <w:r>
        <w:rPr>
          <w:rFonts w:ascii="Arial" w:cs="Arial" w:eastAsia="Arial" w:hAnsi="Arial"/>
        </w:rPr>
        <w:t xml:space="preserve"> starijim i nemoćnim osobama — 52.685,20 € (73,17 %); </w:t>
      </w:r>
      <w:r>
        <w:rPr>
          <w:rFonts w:ascii="Arial" w:cs="Arial" w:eastAsia="Arial" w:hAnsi="Arial"/>
          <w:b/>
          <w:bCs/>
        </w:rPr>
        <w:t xml:space="preserve">naknade za novorođenu djecu</w:t>
      </w:r>
      <w:r>
        <w:rPr>
          <w:rFonts w:ascii="Arial" w:cs="Arial" w:eastAsia="Arial" w:hAnsi="Arial"/>
        </w:rPr>
        <w:t xml:space="preserve"> — 32.215,91 € (80,54 %); </w:t>
      </w:r>
      <w:r>
        <w:rPr>
          <w:rFonts w:ascii="Arial" w:cs="Arial" w:eastAsia="Arial" w:hAnsi="Arial"/>
          <w:b/>
          <w:bCs/>
        </w:rPr>
        <w:t xml:space="preserve">božićnice umirovljenicima</w:t>
      </w:r>
      <w:r>
        <w:rPr>
          <w:rFonts w:ascii="Arial" w:cs="Arial" w:eastAsia="Arial" w:hAnsi="Arial"/>
        </w:rPr>
        <w:t xml:space="preserve"> — 44.660,00 € (74,43 %); </w:t>
      </w:r>
      <w:r>
        <w:rPr>
          <w:rFonts w:ascii="Arial" w:cs="Arial" w:eastAsia="Arial" w:hAnsi="Arial"/>
          <w:b/>
          <w:bCs/>
        </w:rPr>
        <w:t xml:space="preserve">uskrsni dar umirovljenicima</w:t>
      </w:r>
      <w:r>
        <w:rPr>
          <w:rFonts w:ascii="Arial" w:cs="Arial" w:eastAsia="Arial" w:hAnsi="Arial"/>
        </w:rPr>
        <w:t xml:space="preserve"> — 39.400,00 € (98,50 %); </w:t>
      </w:r>
      <w:r>
        <w:rPr>
          <w:rFonts w:ascii="Arial" w:cs="Arial" w:eastAsia="Arial" w:hAnsi="Arial"/>
          <w:b/>
          <w:bCs/>
        </w:rPr>
        <w:t xml:space="preserve">financijska pomoć za školsku opremu</w:t>
      </w:r>
      <w:r>
        <w:rPr>
          <w:rFonts w:ascii="Arial" w:cs="Arial" w:eastAsia="Arial" w:hAnsi="Arial"/>
        </w:rPr>
        <w:t xml:space="preserve"> učenicima — 3.860,26 € (96,51 %). Izvršenje je u skladu sa stvarno podnesenim zahtjevima i brojem korisnika; niže izvršenje sufinanciranja socijalne skrbi (36,21 %) posljedica je manjeg broja ostvarenih prava/zahtjeva u odnosu na plan.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Edukacije deficitarnog kadra za Centar za starije (aktivnost 6.) – 0,00 € (0,00 %). </w:t>
      </w:r>
      <w:r>
        <w:rPr>
          <w:rFonts w:ascii="Arial" w:cs="Arial" w:eastAsia="Arial" w:hAnsi="Arial"/>
        </w:rPr>
        <w:t xml:space="preserve">Planirana izobrazba kadra nije realizirana u 2025. godini jer je vezana uz puštanje Centra u rad; aktivnost se prenosi u 2026. godinu.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B) Izgradnja i opremanje Centra za starije osobe (aktivnost 8.) – plan 11.614.819,21 €, izvršenje 5.251.780,18 € (45,22 %). </w:t>
      </w:r>
      <w:r>
        <w:rPr>
          <w:rFonts w:ascii="Arial" w:cs="Arial" w:eastAsia="Arial" w:hAnsi="Arial"/>
        </w:rPr>
        <w:t xml:space="preserve">Riječ je o najvećem i </w:t>
      </w:r>
      <w:r>
        <w:rPr>
          <w:rFonts w:ascii="Arial" w:cs="Arial" w:eastAsia="Arial" w:hAnsi="Arial"/>
          <w:b/>
          <w:bCs/>
        </w:rPr>
        <w:t xml:space="preserve">višegodišnjem kapitalnom projektu</w:t>
      </w:r>
      <w:r>
        <w:rPr>
          <w:rFonts w:ascii="Arial" w:cs="Arial" w:eastAsia="Arial" w:hAnsi="Arial"/>
        </w:rPr>
        <w:t xml:space="preserve"> Općine, financiranom iz Nacionalnog plana oporavka i otpornosti (pomoći iz državnog proračuna temeljem EU sredstava 452.483,24 € i preneseni EU višak 1.195.810,71 €), uz vlastito sudjelovanje Općine iz općih prihoda (287.840,87 €), prihoda od prodaje nefinancijske imovine (623.731,10 €) i primitaka od zaduživanja (2.691.914,26 €). Niska stopa izvršenja (45,22 %) uobičajena je i očekivana za višegodišnji kapitalni projekt te odražava dinamiku izvođenja radova, provedbe postupaka javne nabave i povlačenja sredstava iz NPOO-a prema odobrenom planu i rokovima projekta; neutrošena sredstva prenose se u 2026. godinu do dovršetka projekta. Riječ je, dakle, o vremenskom rasporedu kapitalnog ulaganja, a ne o nedostatnoj provedbi socijalnih mjera. Sva sredstva ove stavke namjenska su i evidentirana u službenoj knjigovodstvenoj evidenciji, a ova stavka u cijelosti objašnjava nisku ukupnu stopu izvršenja Programa.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Lift za osobe s invaliditetom na plaži (aktivnost 9.) – plan 35.000,00 €, izvršenje 38.874,88 € (111,07 %). </w:t>
      </w:r>
      <w:r>
        <w:rPr>
          <w:rFonts w:ascii="Arial" w:cs="Arial" w:eastAsia="Arial" w:hAnsi="Arial"/>
        </w:rPr>
        <w:t xml:space="preserve">Nabava i ugradnja opreme za pristupačnost plaže osobama s invaliditetom; manje prekoračenje (3.874,88 €) zbog stvarne nabavne cijene, pokriveno iz raspoloživih sredstava.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Projekt „Zaželi – Sv. Filip i Jakov" (aktivnost 10.) – plan 495.616,57 €, izvršenje 361.106,37 € (72,86 %). </w:t>
      </w:r>
      <w:r>
        <w:rPr>
          <w:rFonts w:ascii="Arial" w:cs="Arial" w:eastAsia="Arial" w:hAnsi="Arial"/>
        </w:rPr>
        <w:t xml:space="preserve">Program zapošljavanja žena radi potpore i podrške starijim i nemoćnim osobama, financiran iz Europskog socijalnog fonda (pomoći temeljem EU sredstava 287.747,66 € i preneseni EU višak 47.491,57 €) uz dio iz općih prihoda (25.867,14 €). Izvršenje (72,86 %) prati dinamiku provedbe i priljev EU sredstava.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Obrazloženje ukupnog odstupanja. </w:t>
      </w:r>
      <w:r>
        <w:rPr>
          <w:rFonts w:ascii="Arial" w:cs="Arial" w:eastAsia="Arial" w:hAnsi="Arial"/>
        </w:rPr>
        <w:t xml:space="preserve">Ukupno izvršenje (5.842.291,07 €) iznosi 47,06 % plana, gotovo isključivo zbog dinamike kapitalnog projekta Centra za starije osobe (izvršenje 45,22 %), koji je višegodišnji i čije se neutrošene pozicije prenose u 2026. godinu. Mjere izravne socijalne skrbi i pomoći građanima (aktivnosti 1.–7., 9. i 10.) izvršene su prema stvarnim potrebama i podnesenim zahtjevima korisnika, dok je niska ukupna stopa isključivo posljedica vremenskog rasporeda kapitalnog projekta Centra za starije osobe (višegodišnji NPOO projekt). Sva su sredstva utrošena namjenski, u redovnim postupcima i evidentirana u službenoj knjigovodstvenoj evidenciji Općine, sukladno članku 117. Zakona o socijalnoj skrbi.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IV. ZAKLJUČNE ODREDBE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Članak 1.</w:t>
      </w:r>
    </w:p>
    <w:p>
      <w:pPr>
        <w:spacing w:after="120"/>
      </w:pPr>
      <w:r>
        <w:rPr>
          <w:rFonts w:ascii="Arial" w:cs="Arial" w:eastAsia="Arial" w:hAnsi="Arial"/>
        </w:rPr>
        <w:t xml:space="preserve">Ovo Izvješće o izvršenju Programa javnih potreba u socijalnoj skrbi Općine Sveti Filip i Jakov za 2025. godinu sastavni je dio Izvješća o izvršenju Proračuna Općine Sveti Filip i Jakov za 2025. godinu te se podnosi Općinskom vijeću istodobno s izvješćem o izvršenju proračuna.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Članak 2.</w:t>
      </w:r>
    </w:p>
    <w:p>
      <w:pPr>
        <w:spacing w:after="120"/>
      </w:pPr>
      <w:r>
        <w:rPr>
          <w:rFonts w:ascii="Arial" w:cs="Arial" w:eastAsia="Arial" w:hAnsi="Arial"/>
        </w:rPr>
        <w:t xml:space="preserve">Ovo Izvješće objavit će se u „Službenom glasniku Općine Sveti Filip i Jakov".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</w:rPr>
        <w:t xml:space="preserve">OPĆINSKO VIJEĆE OPĆINE SVETI FILIP I JAKOV</w:t>
      </w:r>
    </w:p>
    <w:p>
      <w:pPr>
        <w:spacing w:after="0"/>
        <w:jc w:val="center"/>
      </w:pPr>
      <w:r>
        <w:rPr>
          <w:rFonts w:ascii="Arial" w:cs="Arial" w:eastAsia="Arial" w:hAnsi="Arial"/>
        </w:rPr>
        <w:t xml:space="preserve">Predsjednik Općinskog vijeća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Igor Pedišić</w:t>
      </w:r>
    </w:p>
    <w:p>
      <w:pPr>
        <w:pageBreakBefore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PRIJEDLOG</w:t>
      </w:r>
    </w:p>
    <w:p>
      <w:pPr>
        <w:spacing w:after="0"/>
      </w:pPr>
      <w:r>
        <w:rPr>
          <w:rFonts w:ascii="Arial" w:cs="Arial" w:eastAsia="Arial" w:hAnsi="Arial"/>
        </w:rPr>
        <w:t xml:space="preserve">KLASA: 550-01/26-01/____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>Na temelju članka 289. Zakona o socijalnoj skrbi („Narodne novine" broj 18/22, 46/22, 119/22, 71/23 i 156/23) i članka 32. Statuta Općine Sveti Filip i Jakov, Općinsko vijeće Općine Sveti Filip i Jakov na svojoj ____. sjednici održanoj ____________ 2026. donosi: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ZAKLJUČAK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usvajanju Izvješća o izvršenju Programa javnih potreba u socijalnoj skrbi Općine Sveti Filip i Jakov za 2025. godinu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I.</w:t>
      </w:r>
    </w:p>
    <w:p>
      <w:pPr>
        <w:spacing w:after="120"/>
      </w:pPr>
      <w:r>
        <w:rPr>
          <w:rFonts w:ascii="Arial" w:cs="Arial" w:eastAsia="Arial" w:hAnsi="Arial"/>
        </w:rPr>
        <w:t xml:space="preserve">Usvaja se Izvješće o izvršenju Programa javnih potreba u socijalnoj skrbi Općine Sveti Filip i Jakov za 2025. godinu, s iskazanim izvršenjem u iznosu od 5.842.291,07 eura u odnosu na planiranih 12.415.335,78 eura (47,06 %).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II.</w:t>
      </w:r>
    </w:p>
    <w:p>
      <w:pPr>
        <w:spacing w:after="120"/>
      </w:pPr>
      <w:r>
        <w:rPr>
          <w:rFonts w:ascii="Arial" w:cs="Arial" w:eastAsia="Arial" w:hAnsi="Arial"/>
        </w:rPr>
        <w:t xml:space="preserve">Ovaj Zaključak i Izvješće objavit će se u „Službenom glasniku Općine Sveti Filip i Jakov".</w:t>
      </w:r>
    </w:p>
    <w:p>
      <w:pPr>
        <w:spacing w:after="120"/>
        <w:jc w:val="center"/>
      </w:pPr>
      <w:r>
        <w:rPr>
          <w:rFonts w:ascii="Arial" w:cs="Arial" w:eastAsia="Arial" w:hAnsi="Arial"/>
        </w:rPr>
        <w:t xml:space="preserve">Predsjednik Općinskog vijeća: Igor Pedišić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Arial" w:cs="Arial" w:eastAsia="Arial" w:hAnsi="Arial"/>
      <w:b/>
      <w:bCs/>
      <w:color w:val="1F4E79"/>
      <w:sz w:val="24"/>
      <w:szCs w:val="24"/>
    </w:rPr>
  </w:style>
  <w:style w:type="paragraph" w:styleId="Heading2">
    <w:name w:val="Heading 2"/>
    <w:basedOn w:val="Normal"/>
    <w:next w:val="Normal"/>
    <w:qFormat/>
    <w:pPr>
      <w:spacing w:after="70" w:before="150"/>
      <w:outlineLvl w:val="1"/>
    </w:pPr>
    <w:rPr>
      <w:rFonts w:ascii="Arial" w:cs="Arial" w:eastAsia="Arial" w:hAnsi="Arial"/>
      <w:b/>
      <w:bCs/>
      <w:color w:val="2E5496"/>
      <w:sz w:val="21"/>
      <w:szCs w:val="21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Zlatko</cp:lastModifiedBy>
  <cp:revision>1</cp:revision>
  <dcterms:created xsi:type="dcterms:W3CDTF">2026-06-18T07:50:42.509Z</dcterms:created>
  <dcterms:modified xsi:type="dcterms:W3CDTF">2026-06-18T07:50:42.517Z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