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</w:rPr>
        <w:t xml:space="preserve">REPUBLIKA HRVATSKA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ZADARSKA ŽUPANIJA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OPĆINA SVETI FILIP I JAKOV</w:t>
      </w:r>
    </w:p>
    <w:p>
      <w:pPr>
        <w:spacing w:after="0"/>
      </w:pPr>
      <w:r>
        <w:rPr>
          <w:rFonts w:ascii="Arial" w:cs="Arial" w:eastAsia="Arial" w:hAnsi="Arial"/>
        </w:rPr>
        <w:t xml:space="preserve">Općinsko vijeće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Put Primorja 1, 23207 Sveti Filip i Jakov • OIB: 57113796391</w:t>
      </w:r>
    </w:p>
    <w:p>
      <w:pPr>
        <w:spacing w:after="0"/>
      </w:pPr>
      <w:r>
        <w:rPr>
          <w:rFonts w:ascii="Arial" w:cs="Arial" w:eastAsia="Arial" w:hAnsi="Arial"/>
        </w:rPr>
        <w:t xml:space="preserve">KLASA: 400-08/26-01/____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 xml:space="preserve">Na temelju članka 215. Pravilnika o proračunskom računovodstvu i Računskom planu („Narodne novine" broj 158/23 i 154/24) te članka 32. Statuta Općine Sveti Filip i Jakov („Službeni glasnik Općine Sveti Filip i Jakov" broj 02/14 – pročišćeni tekst, 06/14, 1/18, 1/20, 2/21, 16/24 i 14/25), Općinsko vijeće Općine Sveti Filip i Jakov na svojoj ____. sjednici održanoj dana ____________ 2026. godine donosi: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ODLUKU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pokriću manjka prihoda i primitaka Općine Sveti Filip i Jakov utvrđenog na dan 31. prosinca 2025. godine</w:t>
      </w:r>
    </w:p>
    <w:p>
      <w:pPr>
        <w:spacing w:after="40" w:before="120"/>
        <w:jc w:val="center"/>
      </w:pPr>
      <w:r>
        <w:rPr>
          <w:rFonts w:ascii="Arial" w:cs="Arial" w:eastAsia="Arial" w:hAnsi="Arial"/>
          <w:b/>
          <w:bCs/>
        </w:rPr>
        <w:t xml:space="preserve">Članak 1.</w:t>
      </w:r>
    </w:p>
    <w:p>
      <w:pPr>
        <w:spacing w:after="120"/>
      </w:pPr>
      <w:r>
        <w:rPr>
          <w:rFonts w:ascii="Arial" w:cs="Arial" w:eastAsia="Arial" w:hAnsi="Arial"/>
        </w:rPr>
        <w:t xml:space="preserve">Ovom se Odlukom utvrđuje i uređuje pokriće prenesenog manjka prihoda i primitaka Općine Sveti Filip i Jakov, utvrđenog na temelju financijskih izvještaja te Godišnjeg izvještaja o izvršenju Proračuna Općine Sveti Filip i Jakov za 2025. godinu.</w:t>
      </w:r>
    </w:p>
    <w:p>
      <w:pPr>
        <w:spacing w:after="40" w:before="120"/>
        <w:jc w:val="center"/>
      </w:pPr>
      <w:r>
        <w:rPr>
          <w:rFonts w:ascii="Arial" w:cs="Arial" w:eastAsia="Arial" w:hAnsi="Arial"/>
          <w:b/>
          <w:bCs/>
        </w:rPr>
        <w:t xml:space="preserve">Članak 2.</w:t>
      </w:r>
    </w:p>
    <w:p>
      <w:pPr>
        <w:spacing w:after="120"/>
      </w:pPr>
      <w:r>
        <w:rPr>
          <w:rFonts w:ascii="Arial" w:cs="Arial" w:eastAsia="Arial" w:hAnsi="Arial"/>
        </w:rPr>
        <w:t xml:space="preserve">Utvrđuje se preneseni manjak prihoda i primitaka Općine Sveti Filip i Jakov, iskazan na osnovnim računima podskupine 922 – rezultat poslovanja, sa stanjem na dan 31. prosinca 2025. godine, u iznosu od 1.174.738,26 eura.</w:t>
      </w:r>
    </w:p>
    <w:p>
      <w:pPr>
        <w:spacing w:after="40" w:before="120"/>
        <w:jc w:val="center"/>
      </w:pPr>
      <w:r>
        <w:rPr>
          <w:rFonts w:ascii="Arial" w:cs="Arial" w:eastAsia="Arial" w:hAnsi="Arial"/>
          <w:b/>
          <w:bCs/>
        </w:rPr>
        <w:t xml:space="preserve">Članak 3.</w:t>
      </w:r>
    </w:p>
    <w:p>
      <w:pPr>
        <w:spacing w:after="120"/>
      </w:pPr>
      <w:r>
        <w:rPr>
          <w:rFonts w:ascii="Arial" w:cs="Arial" w:eastAsia="Arial" w:hAnsi="Arial"/>
        </w:rPr>
        <w:t xml:space="preserve">Manjak iz članka 2. ove Odluke pretežno proizlazi iz dinamike provedbe višegodišnjega kapitalnog projekta izgradnje Centra za starije osobe, financiranog iz Nacionalnog plana oporavka i otpornosti, čije se financiranje (pomoći iz EU/državnog proračuna, primici od zaduživanja te prihodi od prodaje nefinancijske imovine) nastavlja u 2026. godini.</w:t>
      </w:r>
    </w:p>
    <w:p>
      <w:pPr>
        <w:spacing w:after="40" w:before="120"/>
        <w:jc w:val="center"/>
      </w:pPr>
      <w:r>
        <w:rPr>
          <w:rFonts w:ascii="Arial" w:cs="Arial" w:eastAsia="Arial" w:hAnsi="Arial"/>
          <w:b/>
          <w:bCs/>
        </w:rPr>
        <w:t xml:space="preserve">Članak 4.</w:t>
      </w:r>
    </w:p>
    <w:p>
      <w:pPr>
        <w:spacing w:after="120"/>
      </w:pPr>
      <w:r>
        <w:rPr>
          <w:rFonts w:ascii="Arial" w:cs="Arial" w:eastAsia="Arial" w:hAnsi="Arial"/>
        </w:rPr>
        <w:t xml:space="preserve">Manjak iz članka 2. ove Odluke prenosi se u Proračun Općine Sveti Filip i Jakov za 2026. godinu kao preneseni manjak te će se pokriti iz prihoda i primitaka koji se ostvaruju u sljedećim proračunskim razdobljima. Ako se preneseni manjak ne može podmiriti do kraja 2026. proračunske godine, uključit će se u višegodišnji plan uravnoteženja koji predstavničko tijelo donosi uz proračun, sukladno članku 37. Zakona o proračunu („Narodne novine" broj 144/21).</w:t>
      </w:r>
    </w:p>
    <w:p>
      <w:pPr>
        <w:spacing w:after="40" w:before="120"/>
        <w:jc w:val="center"/>
      </w:pPr>
      <w:r>
        <w:rPr>
          <w:rFonts w:ascii="Arial" w:cs="Arial" w:eastAsia="Arial" w:hAnsi="Arial"/>
          <w:b/>
          <w:bCs/>
        </w:rPr>
        <w:t xml:space="preserve">Članak 5.</w:t>
      </w:r>
    </w:p>
    <w:p>
      <w:pPr>
        <w:spacing w:after="120"/>
      </w:pPr>
      <w:r>
        <w:rPr>
          <w:rFonts w:ascii="Arial" w:cs="Arial" w:eastAsia="Arial" w:hAnsi="Arial"/>
        </w:rPr>
        <w:t xml:space="preserve">Ova Odluka stupa na snagu osmoga dana od dana objave u „Službenom glasniku Općine Sveti Filip i Jakov".</w:t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</w:rPr>
        <w:t xml:space="preserve">OPĆINSKO VIJEĆE OPĆINE SVETI FILIP I JAKOV</w:t>
      </w:r>
    </w:p>
    <w:p>
      <w:pPr>
        <w:spacing w:after="0"/>
        <w:jc w:val="center"/>
      </w:pPr>
      <w:r>
        <w:rPr>
          <w:rFonts w:ascii="Arial" w:cs="Arial" w:eastAsia="Arial" w:hAnsi="Arial"/>
        </w:rPr>
        <w:t xml:space="preserve">Predsjednik Općinskog vijeća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Igor Pedišić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1</cp:revision>
  <dcterms:created xsi:type="dcterms:W3CDTF">2026-06-18T11:08:11.107Z</dcterms:created>
  <dcterms:modified xsi:type="dcterms:W3CDTF">2026-06-18T11:08:11.112Z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